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rFonts w:ascii="Arial Narrow" w:cs="Arial Narrow" w:eastAsia="Arial Narrow" w:hAnsi="Arial Narrow"/>
          <w:sz w:val="24"/>
          <w:szCs w:val="24"/>
          <w:vertAlign w:val="baseline"/>
        </w:rPr>
      </w:pPr>
      <w:r w:rsidDel="00000000" w:rsidR="00000000" w:rsidRPr="00000000">
        <w:rPr>
          <w:rtl w:val="0"/>
        </w:rPr>
      </w:r>
    </w:p>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2"/>
        <w:gridCol w:w="6022"/>
        <w:tblGridChange w:id="0">
          <w:tblGrid>
            <w:gridCol w:w="2622"/>
            <w:gridCol w:w="6022"/>
          </w:tblGrid>
        </w:tblGridChange>
      </w:tblGrid>
      <w:tr>
        <w:tc>
          <w:tcPr>
            <w:vAlign w:val="top"/>
          </w:tcPr>
          <w:p w:rsidR="00000000" w:rsidDel="00000000" w:rsidP="00000000" w:rsidRDefault="00000000" w:rsidRPr="00000000" w14:paraId="0000000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DENOMINACIÓN</w:t>
            </w:r>
          </w:p>
        </w:tc>
        <w:tc>
          <w:tcPr>
            <w:vAlign w:val="top"/>
          </w:tcPr>
          <w:p w:rsidR="00000000" w:rsidDel="00000000" w:rsidP="00000000" w:rsidRDefault="00000000" w:rsidRPr="00000000" w14:paraId="00000003">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FORMACION PROFESIONAL ESPECIFICA</w:t>
            </w:r>
          </w:p>
        </w:tc>
      </w:tr>
      <w:tr>
        <w:tc>
          <w:tcPr>
            <w:vAlign w:val="top"/>
          </w:tcPr>
          <w:p w:rsidR="00000000" w:rsidDel="00000000" w:rsidP="00000000" w:rsidRDefault="00000000" w:rsidRPr="00000000" w14:paraId="00000004">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TITULACIÓN</w:t>
            </w:r>
          </w:p>
        </w:tc>
        <w:tc>
          <w:tcPr>
            <w:vAlign w:val="top"/>
          </w:tcPr>
          <w:p w:rsidR="00000000" w:rsidDel="00000000" w:rsidP="00000000" w:rsidRDefault="00000000" w:rsidRPr="00000000" w14:paraId="00000005">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Tecnico O Técnica </w:t>
            </w:r>
            <w:r w:rsidDel="00000000" w:rsidR="00000000" w:rsidRPr="00000000">
              <w:rPr>
                <w:sz w:val="24"/>
                <w:szCs w:val="24"/>
                <w:rtl w:val="0"/>
              </w:rPr>
              <w:t xml:space="preserve">En Atención A Personas En Situación De Dependencia </w:t>
            </w:r>
            <w:r w:rsidDel="00000000" w:rsidR="00000000" w:rsidRPr="00000000">
              <w:rPr>
                <w:rtl w:val="0"/>
              </w:rPr>
            </w:r>
          </w:p>
        </w:tc>
      </w:tr>
      <w:tr>
        <w:tc>
          <w:tcPr>
            <w:vAlign w:val="top"/>
          </w:tcPr>
          <w:p w:rsidR="00000000" w:rsidDel="00000000" w:rsidP="00000000" w:rsidRDefault="00000000" w:rsidRPr="00000000" w14:paraId="00000006">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CURSO</w:t>
            </w:r>
            <w:r w:rsidDel="00000000" w:rsidR="00000000" w:rsidRPr="00000000">
              <w:rPr>
                <w:rtl w:val="0"/>
              </w:rPr>
            </w:r>
          </w:p>
        </w:tc>
        <w:tc>
          <w:tcPr>
            <w:vAlign w:val="top"/>
          </w:tcPr>
          <w:p w:rsidR="00000000" w:rsidDel="00000000" w:rsidP="00000000" w:rsidRDefault="00000000" w:rsidRPr="00000000" w14:paraId="00000007">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rtl w:val="0"/>
              </w:rPr>
              <w:t xml:space="preserve">Segundo</w:t>
            </w:r>
            <w:r w:rsidDel="00000000" w:rsidR="00000000" w:rsidRPr="00000000">
              <w:rPr>
                <w:rtl w:val="0"/>
              </w:rPr>
            </w:r>
          </w:p>
        </w:tc>
      </w:tr>
    </w:tbl>
    <w:p w:rsidR="00000000" w:rsidDel="00000000" w:rsidP="00000000" w:rsidRDefault="00000000" w:rsidRPr="00000000" w14:paraId="00000008">
      <w:pPr>
        <w:jc w:val="both"/>
        <w:rPr>
          <w:rFonts w:ascii="Arial Narrow" w:cs="Arial Narrow" w:eastAsia="Arial Narrow" w:hAnsi="Arial Narrow"/>
          <w:sz w:val="24"/>
          <w:szCs w:val="24"/>
          <w:vertAlign w:val="baseline"/>
        </w:rPr>
      </w:pPr>
      <w:r w:rsidDel="00000000" w:rsidR="00000000" w:rsidRPr="00000000">
        <w:rPr>
          <w:rtl w:val="0"/>
        </w:rPr>
      </w:r>
    </w:p>
    <w:tbl>
      <w:tblPr>
        <w:tblStyle w:val="Table2"/>
        <w:tblW w:w="418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181"/>
        <w:tblGridChange w:id="0">
          <w:tblGrid>
            <w:gridCol w:w="4181"/>
          </w:tblGrid>
        </w:tblGridChange>
      </w:tblGrid>
      <w:tr>
        <w:tc>
          <w:tcPr>
            <w:shd w:fill="cccccc" w:val="clear"/>
            <w:vAlign w:val="top"/>
          </w:tcPr>
          <w:p w:rsidR="00000000" w:rsidDel="00000000" w:rsidP="00000000" w:rsidRDefault="00000000" w:rsidRPr="00000000" w14:paraId="00000009">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1. DESCRIPCIÓN GENERAL</w:t>
            </w:r>
            <w:r w:rsidDel="00000000" w:rsidR="00000000" w:rsidRPr="00000000">
              <w:rPr>
                <w:rtl w:val="0"/>
              </w:rPr>
            </w:r>
          </w:p>
        </w:tc>
      </w:tr>
      <w:tr>
        <w:tc>
          <w:tcPr>
            <w:shd w:fill="cccccc" w:val="clear"/>
            <w:vAlign w:val="top"/>
          </w:tcPr>
          <w:p w:rsidR="00000000" w:rsidDel="00000000" w:rsidP="00000000" w:rsidRDefault="00000000" w:rsidRPr="00000000" w14:paraId="0000000A">
            <w:pPr>
              <w:jc w:val="both"/>
              <w:rPr>
                <w:rFonts w:ascii="Arial Narrow" w:cs="Arial Narrow" w:eastAsia="Arial Narrow" w:hAnsi="Arial Narrow"/>
                <w:b w:val="0"/>
                <w:sz w:val="24"/>
                <w:szCs w:val="24"/>
                <w:vertAlign w:val="baseline"/>
              </w:rPr>
            </w:pPr>
            <w:r w:rsidDel="00000000" w:rsidR="00000000" w:rsidRPr="00000000">
              <w:rPr>
                <w:rtl w:val="0"/>
              </w:rPr>
            </w:r>
          </w:p>
        </w:tc>
      </w:tr>
    </w:tbl>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Este curso es el </w:t>
      </w:r>
      <w:r w:rsidDel="00000000" w:rsidR="00000000" w:rsidRPr="00000000">
        <w:rPr>
          <w:rFonts w:ascii="Arial Narrow" w:cs="Arial Narrow" w:eastAsia="Arial Narrow" w:hAnsi="Arial Narrow"/>
          <w:sz w:val="24"/>
          <w:szCs w:val="24"/>
          <w:rtl w:val="0"/>
        </w:rPr>
        <w:t xml:space="preserve">segundo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 los dos que forman el ciclo de grado medio en </w:t>
      </w:r>
      <w:r w:rsidDel="00000000" w:rsidR="00000000" w:rsidRPr="00000000">
        <w:rPr>
          <w:sz w:val="24"/>
          <w:szCs w:val="24"/>
          <w:rtl w:val="0"/>
        </w:rPr>
        <w:t xml:space="preserve">En Atención A Personas En Situación De Dependencia</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Los Ciclos Formativos de Grado Medio son estudios que se pueden realizar a partir de los 16 años. Cada Ciclo Formativo da un título que capacita para desempeñar una profesión concreta. Los estudios se organizan en módulos (materias) cuya finalidad es preparar para las necesidades propias de un puesto de trabajo.</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Tanto los Ciclos de Grado Medio como los de Grado Superior incluyen un Módulo de Formación en Centros de Trabajo (FCT) que permite completar el aprendizaje y mejorar la  calificación profesional del alumnado en una empresa del sector. La experiencia adquirida en estas empresas facilitará, sin duda, la inserción laboral.</w:t>
      </w:r>
    </w:p>
    <w:p w:rsidR="00000000" w:rsidDel="00000000" w:rsidP="00000000" w:rsidRDefault="00000000" w:rsidRPr="00000000" w14:paraId="0000000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 estructura y ordenación de este ciclo formativo está definida en:</w:t>
      </w:r>
    </w:p>
    <w:p w:rsidR="00000000" w:rsidDel="00000000" w:rsidP="00000000" w:rsidRDefault="00000000" w:rsidRPr="00000000" w14:paraId="0000001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2">
      <w:pPr>
        <w:numPr>
          <w:ilvl w:val="0"/>
          <w:numId w:val="1"/>
        </w:numPr>
        <w:ind w:left="1065"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 La Ley Orgánica 5/2002, de 19 de junio, de las Cualificaciones y de la Formación Profesional, ha permitido avanzar en la definición de un Catálogo Nacional de Cualificaciones que ha delineado, para cada sector o Familia Profesional, un conjunto de cualificaciones, organizadas en tres niveles, que constituyen el núcleo del currículo de los correspondientes títulos de Formación Profesional.</w:t>
      </w:r>
    </w:p>
    <w:p w:rsidR="00000000" w:rsidDel="00000000" w:rsidP="00000000" w:rsidRDefault="00000000" w:rsidRPr="00000000" w14:paraId="00000013">
      <w:pPr>
        <w:ind w:left="1065"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4">
      <w:pPr>
        <w:numPr>
          <w:ilvl w:val="0"/>
          <w:numId w:val="1"/>
        </w:numPr>
        <w:ind w:left="1065"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La Ley Orgánica 2/2006, de 3 de mayo, de Educación, regula la organización y los principios generales de estructura y ordenación de las enseñanzas profesionales dentro del sistema educativo, articulando el conjunto de las etapas, niveles y tipos de enseñanzas en un modelo coherente en el que los ciclos formativos cumplen importantes funciones ligadas al desarrollo de capacidades profesionales, personales y sociales, situadas, esencialmente, en los ámbitos de la cualificación profesional, la inserción laboral y la participación en la vida adulta.</w:t>
      </w:r>
    </w:p>
    <w:p w:rsidR="00000000" w:rsidDel="00000000" w:rsidP="00000000" w:rsidRDefault="00000000" w:rsidRPr="00000000" w14:paraId="00000015">
      <w:pPr>
        <w:numPr>
          <w:ilvl w:val="0"/>
          <w:numId w:val="1"/>
        </w:numPr>
        <w:ind w:left="1065"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.La Ley 2/2011, de 4 de marzo, de Economía Sostenible, establece como objetivo de la misma, en relación con la formación profesional, el facilitar la adecuación constante de la oferta formativa a las competencias profesionales demandadas por el sistema productivo y la sociedad, mediante un sistema de ágil actualización y adaptación de los títulos de formación profesional. Así mismo, señala la necesidad de que la administración educativa adopte iniciativas para adecuar la oferta de formación profesional a las necesidades de la sociedad y de la economía en el ámbito territorial correspondiente. Por otra parte, modifica los requisitos necesarios para el acceso a las enseñanzas de formación profesional en los ciclos de grado medio y grado superior.</w:t>
      </w:r>
    </w:p>
    <w:p w:rsidR="00000000" w:rsidDel="00000000" w:rsidP="00000000" w:rsidRDefault="00000000" w:rsidRPr="00000000" w14:paraId="00000016">
      <w:pPr>
        <w:numPr>
          <w:ilvl w:val="0"/>
          <w:numId w:val="1"/>
        </w:numPr>
        <w:ind w:left="1065" w:hanging="360"/>
        <w:jc w:val="both"/>
        <w:rPr/>
      </w:pPr>
      <w:r w:rsidDel="00000000" w:rsidR="00000000" w:rsidRPr="00000000">
        <w:rPr>
          <w:rFonts w:ascii="Arial Narrow" w:cs="Arial Narrow" w:eastAsia="Arial Narrow" w:hAnsi="Arial Narrow"/>
          <w:sz w:val="24"/>
          <w:szCs w:val="24"/>
          <w:vertAlign w:val="baseline"/>
          <w:rtl w:val="0"/>
        </w:rPr>
        <w:t xml:space="preserve">Real Decreto 1589/2011, de 4 de noviembre, por el que se establece el título de Técnico en Mantenimiento electromecánico y se fijan sus enseñanzas mínimas, en aplicación del artículo 8 del Real Decreto 1147/2011, de 29 de julio, por el que se establece la ordenación general de la formación profesional del sistema educativo, y en ejercicio de las competencias que en esta materia tiene la Comunidad Foral de Navarra, reconocidas en el artículo 47 de la Ley Orgánica 13/1982, de 10 de agosto, de Reintegración y Amejoramiento del Régimen Foral de Navarra</w:t>
      </w:r>
      <w:r w:rsidDel="00000000" w:rsidR="00000000" w:rsidRPr="00000000">
        <w:rPr>
          <w:vertAlign w:val="baseline"/>
          <w:rtl w:val="0"/>
        </w:rPr>
        <w:t xml:space="preserve">.</w:t>
      </w:r>
    </w:p>
    <w:p w:rsidR="00000000" w:rsidDel="00000000" w:rsidP="00000000" w:rsidRDefault="00000000" w:rsidRPr="00000000" w14:paraId="00000017">
      <w:pPr>
        <w:numPr>
          <w:ilvl w:val="0"/>
          <w:numId w:val="1"/>
        </w:numPr>
        <w:ind w:left="1065"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Por otro lado, el Decreto Foral 54/2008, de 26 de mayo, por el que se regula la ordenación y desarrollo de la formación profesional en el sistema educativo en el ámbito de la Comunidad Foral de Navarra, ha definido un modelo para el desarrollo del currículo de los títulos de formación profesional, modelo que introduce nuevos aspectos estratégicos y normativos que favorecen una mejor adaptación a la empresa, una mayor flexibilidad organizativa de las enseñanzas, un aumento de la autonomía curricular de los centros y una más amplia formación al alumnado.</w:t>
      </w:r>
    </w:p>
    <w:p w:rsidR="00000000" w:rsidDel="00000000" w:rsidP="00000000" w:rsidRDefault="00000000" w:rsidRPr="00000000" w14:paraId="00000018">
      <w:pPr>
        <w:numPr>
          <w:ilvl w:val="0"/>
          <w:numId w:val="1"/>
        </w:numPr>
        <w:tabs>
          <w:tab w:val="left" w:pos="-720"/>
          <w:tab w:val="right" w:pos="8789"/>
        </w:tabs>
        <w:ind w:left="1065" w:right="-1"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.Orden Foral  52/2009 de 8 de abril de evaluación del alumnado de formación profesional en Navarra</w:t>
      </w:r>
    </w:p>
    <w:p w:rsidR="00000000" w:rsidDel="00000000" w:rsidP="00000000" w:rsidRDefault="00000000" w:rsidRPr="00000000" w14:paraId="00000019">
      <w:pPr>
        <w:numPr>
          <w:ilvl w:val="0"/>
          <w:numId w:val="1"/>
        </w:numPr>
        <w:tabs>
          <w:tab w:val="left" w:pos="-720"/>
          <w:tab w:val="right" w:pos="8789"/>
        </w:tabs>
        <w:ind w:left="1065" w:right="-1"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 ORDEN FORAL 45/2009, de 2 de abril, del Consejero de Educación por la que se regula el desarrollo del módulo de Formación en Centros de Trabajo, integrado en las enseñanzas de Formación Profesional del sistema educativo, en el ámbito de la Comunidad Foral de Navarra</w:t>
      </w:r>
    </w:p>
    <w:p w:rsidR="00000000" w:rsidDel="00000000" w:rsidP="00000000" w:rsidRDefault="00000000" w:rsidRPr="00000000" w14:paraId="0000001A">
      <w:pPr>
        <w:pStyle w:val="Heading2"/>
        <w:keepNext w:val="0"/>
        <w:keepLines w:val="0"/>
        <w:numPr>
          <w:ilvl w:val="0"/>
          <w:numId w:val="1"/>
        </w:numPr>
        <w:shd w:fill="ffffff" w:val="clear"/>
        <w:tabs>
          <w:tab w:val="left" w:pos="-720"/>
          <w:tab w:val="right" w:pos="8789"/>
        </w:tabs>
        <w:spacing w:after="280" w:before="280" w:line="264" w:lineRule="auto"/>
        <w:ind w:left="1065" w:hanging="360"/>
        <w:jc w:val="both"/>
        <w:rPr>
          <w:rFonts w:ascii="Arial Narrow" w:cs="Arial Narrow" w:eastAsia="Arial Narrow" w:hAnsi="Arial Narrow"/>
          <w:b w:val="0"/>
          <w:sz w:val="24"/>
          <w:szCs w:val="24"/>
        </w:rPr>
      </w:pPr>
      <w:bookmarkStart w:colFirst="0" w:colLast="0" w:name="_q2su76a0j9ai" w:id="0"/>
      <w:bookmarkEnd w:id="0"/>
      <w:r w:rsidDel="00000000" w:rsidR="00000000" w:rsidRPr="00000000">
        <w:rPr>
          <w:rFonts w:ascii="Arial Narrow" w:cs="Arial Narrow" w:eastAsia="Arial Narrow" w:hAnsi="Arial Narrow"/>
          <w:b w:val="0"/>
          <w:sz w:val="24"/>
          <w:szCs w:val="24"/>
          <w:rtl w:val="0"/>
        </w:rPr>
        <w:t xml:space="preserve">DECRETO FORAL 82/2012, de 1 de agosto, por el que se establecen la estructura y el currículo del título de Técnico o Tecnica en Atención a Personas en Situación de Dependencia en el ámbito de la Comunidad Foral de Navarra.</w:t>
      </w:r>
    </w:p>
    <w:p w:rsidR="00000000" w:rsidDel="00000000" w:rsidP="00000000" w:rsidRDefault="00000000" w:rsidRPr="00000000" w14:paraId="0000001B">
      <w:pPr>
        <w:jc w:val="both"/>
        <w:rPr>
          <w:rFonts w:ascii="Arial Narrow" w:cs="Arial Narrow" w:eastAsia="Arial Narrow" w:hAnsi="Arial Narrow"/>
          <w:sz w:val="24"/>
          <w:szCs w:val="24"/>
          <w:vertAlign w:val="baseline"/>
        </w:rPr>
      </w:pPr>
      <w:r w:rsidDel="00000000" w:rsidR="00000000" w:rsidRPr="00000000">
        <w:rPr>
          <w:rtl w:val="0"/>
        </w:rPr>
      </w:r>
    </w:p>
    <w:tbl>
      <w:tblPr>
        <w:tblStyle w:val="Table3"/>
        <w:tblW w:w="2905.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905"/>
        <w:tblGridChange w:id="0">
          <w:tblGrid>
            <w:gridCol w:w="2905"/>
          </w:tblGrid>
        </w:tblGridChange>
      </w:tblGrid>
      <w:tr>
        <w:tc>
          <w:tcPr>
            <w:shd w:fill="cccccc" w:val="clear"/>
            <w:vAlign w:val="top"/>
          </w:tcPr>
          <w:p w:rsidR="00000000" w:rsidDel="00000000" w:rsidP="00000000" w:rsidRDefault="00000000" w:rsidRPr="00000000" w14:paraId="0000001C">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2. FINALIDADES</w:t>
            </w:r>
            <w:r w:rsidDel="00000000" w:rsidR="00000000" w:rsidRPr="00000000">
              <w:rPr>
                <w:rtl w:val="0"/>
              </w:rPr>
            </w:r>
          </w:p>
        </w:tc>
      </w:tr>
    </w:tbl>
    <w:p w:rsidR="00000000" w:rsidDel="00000000" w:rsidP="00000000" w:rsidRDefault="00000000" w:rsidRPr="00000000" w14:paraId="0000001D">
      <w:pPr>
        <w:tabs>
          <w:tab w:val="left" w:pos="-720"/>
          <w:tab w:val="right" w:pos="8789"/>
        </w:tabs>
        <w:ind w:right="-1" w:firstLine="567"/>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8789"/>
        </w:tabs>
        <w:spacing w:after="0" w:before="0" w:line="240" w:lineRule="auto"/>
        <w:ind w:left="0" w:right="-1" w:firstLine="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formación profesional tiene como finalidad la preparación del alumnado para la actividad en un campo profesional, proporcionándole una formación polivalente que le permita adaptarse a las modificaciones laborales que puedan producirse a lo largo de su vida. Incluye tanto la formación profesional de base que reciben todos los alumnos y alumnas de Educación Secundaria Obligatoria y de Bachillerato, como la formación profesional específica de grado medio y superior.</w:t>
      </w:r>
    </w:p>
    <w:p w:rsidR="00000000" w:rsidDel="00000000" w:rsidP="00000000" w:rsidRDefault="00000000" w:rsidRPr="00000000" w14:paraId="0000001F">
      <w:pPr>
        <w:tabs>
          <w:tab w:val="left" w:pos="-720"/>
          <w:tab w:val="right" w:pos="8789"/>
        </w:tabs>
        <w:ind w:right="-1" w:firstLine="567"/>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8789"/>
        </w:tabs>
        <w:spacing w:after="0" w:before="0" w:line="240" w:lineRule="auto"/>
        <w:ind w:left="0" w:right="-1" w:firstLine="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formación profesional específica comprende un conjunto de ciclos formativos con una organización modular, de duración variable, constituidos por áreas de conocimiento teórico-prácticas en función de los diversos campos profesionales. La formación profesional específica facilita la incorporación de los jóvenes a la vida activa, contribuye a la formación permanente de los ciudadanos y atiende a las demandas de cualificación del sistema productivo.</w:t>
      </w:r>
    </w:p>
    <w:p w:rsidR="00000000" w:rsidDel="00000000" w:rsidP="00000000" w:rsidRDefault="00000000" w:rsidRPr="00000000" w14:paraId="00000021">
      <w:pPr>
        <w:tabs>
          <w:tab w:val="left" w:pos="-720"/>
          <w:tab w:val="right" w:pos="8789"/>
        </w:tabs>
        <w:ind w:right="-1" w:firstLine="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El perfil profesional del título de Técnico o técnica </w:t>
      </w:r>
      <w:r w:rsidDel="00000000" w:rsidR="00000000" w:rsidRPr="00000000">
        <w:rPr>
          <w:sz w:val="24"/>
          <w:szCs w:val="24"/>
          <w:rtl w:val="0"/>
        </w:rPr>
        <w:t xml:space="preserve">En Atención A Personas En Situación De Dependencia</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vertAlign w:val="baseline"/>
          <w:rtl w:val="0"/>
        </w:rPr>
        <w:t xml:space="preserve">queda determinado por su competencia general, sus competencias profesionales, personales y sociales, y por la relación de cualificaciones y, en su caso, unidades de competencia del Catálogo Nacional de Cualificaciones Profesionales incluidas en el título</w:t>
      </w:r>
    </w:p>
    <w:p w:rsidR="00000000" w:rsidDel="00000000" w:rsidP="00000000" w:rsidRDefault="00000000" w:rsidRPr="00000000" w14:paraId="00000022">
      <w:pPr>
        <w:tabs>
          <w:tab w:val="left" w:pos="-720"/>
          <w:tab w:val="right" w:pos="8789"/>
        </w:tabs>
        <w:ind w:right="-1" w:firstLine="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 competencia general de este título consiste </w:t>
      </w:r>
      <w:r w:rsidDel="00000000" w:rsidR="00000000" w:rsidRPr="00000000">
        <w:rPr>
          <w:rFonts w:ascii="Arial Narrow" w:cs="Arial Narrow" w:eastAsia="Arial Narrow" w:hAnsi="Arial Narrow"/>
          <w:color w:val="333333"/>
          <w:sz w:val="24"/>
          <w:szCs w:val="24"/>
          <w:highlight w:val="white"/>
          <w:rtl w:val="0"/>
        </w:rPr>
        <w:t xml:space="preserve">consiste en atender a las personas en situación de dependencia, en el ámbito domiciliario e institucional, a fin de mantener y mejorar su calidad de vida, realizando actividades asistenciales, no sanitarias, psicosociales y de apoyo a la gestión doméstica, aplicando medidas y normas de prevención y seguridad y derivándolas a otros servicios cuando sea necesario.</w:t>
      </w:r>
      <w:r w:rsidDel="00000000" w:rsidR="00000000" w:rsidRPr="00000000">
        <w:rPr>
          <w:rtl w:val="0"/>
        </w:rPr>
      </w:r>
    </w:p>
    <w:p w:rsidR="00000000" w:rsidDel="00000000" w:rsidP="00000000" w:rsidRDefault="00000000" w:rsidRPr="00000000" w14:paraId="00000023">
      <w:pPr>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24">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Las ocupaciones y puestos de trabajo más relevantes son los siguientes:</w:t>
      </w:r>
    </w:p>
    <w:p w:rsidR="00000000" w:rsidDel="00000000" w:rsidP="00000000" w:rsidRDefault="00000000" w:rsidRPr="00000000" w14:paraId="00000025">
      <w:pPr>
        <w:tabs>
          <w:tab w:val="left" w:pos="-720"/>
          <w:tab w:val="right" w:pos="8789"/>
        </w:tabs>
        <w:ind w:left="720" w:right="-1" w:firstLine="566.999999999999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Cuidador o cuidadora de personas en situación de dependencia en diferentes instituciones y/o domicilios. </w:t>
      </w:r>
    </w:p>
    <w:p w:rsidR="00000000" w:rsidDel="00000000" w:rsidP="00000000" w:rsidRDefault="00000000" w:rsidRPr="00000000" w14:paraId="00000026">
      <w:pPr>
        <w:tabs>
          <w:tab w:val="left" w:pos="-720"/>
          <w:tab w:val="right" w:pos="8789"/>
        </w:tabs>
        <w:ind w:left="720" w:right="-1" w:firstLine="566.999999999999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Cuidador o cuidadora en centros de atención psiquiátrica.</w:t>
      </w:r>
    </w:p>
    <w:p w:rsidR="00000000" w:rsidDel="00000000" w:rsidP="00000000" w:rsidRDefault="00000000" w:rsidRPr="00000000" w14:paraId="00000027">
      <w:pPr>
        <w:tabs>
          <w:tab w:val="left" w:pos="-720"/>
          <w:tab w:val="right" w:pos="8789"/>
        </w:tabs>
        <w:ind w:left="720" w:right="-1" w:firstLine="566.999999999999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 Gerocultor o gerocultora. </w:t>
      </w:r>
    </w:p>
    <w:p w:rsidR="00000000" w:rsidDel="00000000" w:rsidP="00000000" w:rsidRDefault="00000000" w:rsidRPr="00000000" w14:paraId="00000028">
      <w:pPr>
        <w:tabs>
          <w:tab w:val="left" w:pos="-720"/>
          <w:tab w:val="right" w:pos="8789"/>
        </w:tabs>
        <w:ind w:left="720" w:right="-1" w:firstLine="566.999999999999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Gobernante y subgobernante de personas en situación de dependencia en instituciones. </w:t>
      </w:r>
    </w:p>
    <w:p w:rsidR="00000000" w:rsidDel="00000000" w:rsidP="00000000" w:rsidRDefault="00000000" w:rsidRPr="00000000" w14:paraId="00000029">
      <w:pPr>
        <w:tabs>
          <w:tab w:val="left" w:pos="-720"/>
          <w:tab w:val="right" w:pos="8789"/>
        </w:tabs>
        <w:ind w:left="720" w:right="-1" w:firstLine="566.999999999999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Auxiliar responsable de planta de residencias de mayores y personas con discapacidad.</w:t>
      </w:r>
    </w:p>
    <w:p w:rsidR="00000000" w:rsidDel="00000000" w:rsidP="00000000" w:rsidRDefault="00000000" w:rsidRPr="00000000" w14:paraId="0000002A">
      <w:pPr>
        <w:tabs>
          <w:tab w:val="left" w:pos="-720"/>
          <w:tab w:val="right" w:pos="8789"/>
        </w:tabs>
        <w:ind w:left="720" w:right="-1" w:firstLine="566.999999999999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 Auxiliar de ayuda a domicilio.</w:t>
      </w:r>
    </w:p>
    <w:p w:rsidR="00000000" w:rsidDel="00000000" w:rsidP="00000000" w:rsidRDefault="00000000" w:rsidRPr="00000000" w14:paraId="0000002B">
      <w:pPr>
        <w:tabs>
          <w:tab w:val="left" w:pos="-720"/>
          <w:tab w:val="right" w:pos="8789"/>
        </w:tabs>
        <w:ind w:left="720" w:right="-1" w:firstLine="566.999999999999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 Asistente de atención domiciliaria. </w:t>
      </w:r>
    </w:p>
    <w:p w:rsidR="00000000" w:rsidDel="00000000" w:rsidP="00000000" w:rsidRDefault="00000000" w:rsidRPr="00000000" w14:paraId="0000002C">
      <w:pPr>
        <w:tabs>
          <w:tab w:val="left" w:pos="-720"/>
          <w:tab w:val="right" w:pos="8789"/>
        </w:tabs>
        <w:ind w:left="720" w:right="-1" w:firstLine="566.999999999999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Trabajador o trabajadora familiar. </w:t>
      </w:r>
    </w:p>
    <w:p w:rsidR="00000000" w:rsidDel="00000000" w:rsidP="00000000" w:rsidRDefault="00000000" w:rsidRPr="00000000" w14:paraId="0000002D">
      <w:pPr>
        <w:tabs>
          <w:tab w:val="left" w:pos="-720"/>
          <w:tab w:val="right" w:pos="8789"/>
        </w:tabs>
        <w:ind w:left="720" w:right="-1" w:firstLine="566.999999999999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Auxiliar de educación especial. </w:t>
      </w:r>
    </w:p>
    <w:p w:rsidR="00000000" w:rsidDel="00000000" w:rsidP="00000000" w:rsidRDefault="00000000" w:rsidRPr="00000000" w14:paraId="0000002E">
      <w:pPr>
        <w:tabs>
          <w:tab w:val="left" w:pos="-720"/>
          <w:tab w:val="right" w:pos="8789"/>
        </w:tabs>
        <w:ind w:left="720" w:right="-1" w:firstLine="566.999999999999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Asistente personal. </w:t>
      </w:r>
    </w:p>
    <w:p w:rsidR="00000000" w:rsidDel="00000000" w:rsidP="00000000" w:rsidRDefault="00000000" w:rsidRPr="00000000" w14:paraId="0000002F">
      <w:pPr>
        <w:tabs>
          <w:tab w:val="left" w:pos="-720"/>
          <w:tab w:val="right" w:pos="8789"/>
        </w:tabs>
        <w:ind w:left="720" w:right="-1" w:firstLine="566.999999999999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rtl w:val="0"/>
        </w:rPr>
        <w:t xml:space="preserve">• Teleoperador/a de teleasistencia</w:t>
      </w:r>
      <w:r w:rsidDel="00000000" w:rsidR="00000000" w:rsidRPr="00000000">
        <w:rPr>
          <w:rtl w:val="0"/>
        </w:rPr>
      </w:r>
    </w:p>
    <w:p w:rsidR="00000000" w:rsidDel="00000000" w:rsidP="00000000" w:rsidRDefault="00000000" w:rsidRPr="00000000" w14:paraId="00000030">
      <w:pPr>
        <w:tabs>
          <w:tab w:val="left" w:pos="-720"/>
          <w:tab w:val="right" w:pos="8789"/>
        </w:tabs>
        <w:ind w:right="-1" w:firstLine="567"/>
        <w:jc w:val="both"/>
        <w:rPr>
          <w:rFonts w:ascii="Arial Narrow" w:cs="Arial Narrow" w:eastAsia="Arial Narrow" w:hAnsi="Arial Narrow"/>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2">
      <w:pPr>
        <w:jc w:val="both"/>
        <w:rPr>
          <w:rFonts w:ascii="Arial Narrow" w:cs="Arial Narrow" w:eastAsia="Arial Narrow" w:hAnsi="Arial Narrow"/>
          <w:sz w:val="24"/>
          <w:szCs w:val="24"/>
          <w:vertAlign w:val="baseline"/>
        </w:rPr>
      </w:pPr>
      <w:r w:rsidDel="00000000" w:rsidR="00000000" w:rsidRPr="00000000">
        <w:rPr>
          <w:rtl w:val="0"/>
        </w:rPr>
      </w:r>
    </w:p>
    <w:tbl>
      <w:tblPr>
        <w:tblStyle w:val="Table4"/>
        <w:tblW w:w="333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3331"/>
        <w:tblGridChange w:id="0">
          <w:tblGrid>
            <w:gridCol w:w="3331"/>
          </w:tblGrid>
        </w:tblGridChange>
      </w:tblGrid>
      <w:tr>
        <w:tc>
          <w:tcPr>
            <w:shd w:fill="cccccc" w:val="clear"/>
            <w:vAlign w:val="top"/>
          </w:tcPr>
          <w:p w:rsidR="00000000" w:rsidDel="00000000" w:rsidP="00000000" w:rsidRDefault="00000000" w:rsidRPr="00000000" w14:paraId="00000033">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3. MODELO LINGÜISTICO</w:t>
            </w:r>
            <w:r w:rsidDel="00000000" w:rsidR="00000000" w:rsidRPr="00000000">
              <w:rPr>
                <w:rtl w:val="0"/>
              </w:rPr>
            </w:r>
          </w:p>
        </w:tc>
      </w:tr>
    </w:tbl>
    <w:p w:rsidR="00000000" w:rsidDel="00000000" w:rsidP="00000000" w:rsidRDefault="00000000" w:rsidRPr="00000000" w14:paraId="0000003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5">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El CIP FP SAKANA LH IIP imparte las clases en el modelo lingüístico G. El profesorado que conoce el euskera, en la atención personalizada al alumnado, utiliza este idioma cuando así se lo demanden. </w:t>
      </w:r>
      <w:r w:rsidDel="00000000" w:rsidR="00000000" w:rsidRPr="00000000">
        <w:rPr>
          <w:rFonts w:ascii="Arial Narrow" w:cs="Arial Narrow" w:eastAsia="Arial Narrow" w:hAnsi="Arial Narrow"/>
          <w:sz w:val="24"/>
          <w:szCs w:val="24"/>
          <w:rtl w:val="0"/>
        </w:rPr>
        <w:t xml:space="preserve">Este curso se oferta en modelo D</w:t>
      </w:r>
      <w:r w:rsidDel="00000000" w:rsidR="00000000" w:rsidRPr="00000000">
        <w:rPr>
          <w:rtl w:val="0"/>
        </w:rPr>
      </w:r>
    </w:p>
    <w:p w:rsidR="00000000" w:rsidDel="00000000" w:rsidP="00000000" w:rsidRDefault="00000000" w:rsidRPr="00000000" w14:paraId="00000036">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7">
      <w:pPr>
        <w:jc w:val="both"/>
        <w:rPr>
          <w:rFonts w:ascii="Arial Narrow" w:cs="Arial Narrow" w:eastAsia="Arial Narrow" w:hAnsi="Arial Narrow"/>
          <w:sz w:val="24"/>
          <w:szCs w:val="24"/>
          <w:vertAlign w:val="baseline"/>
        </w:rPr>
      </w:pPr>
      <w:r w:rsidDel="00000000" w:rsidR="00000000" w:rsidRPr="00000000">
        <w:rPr>
          <w:rtl w:val="0"/>
        </w:rPr>
      </w:r>
    </w:p>
    <w:tbl>
      <w:tblPr>
        <w:tblStyle w:val="Table5"/>
        <w:tblW w:w="418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181"/>
        <w:tblGridChange w:id="0">
          <w:tblGrid>
            <w:gridCol w:w="4181"/>
          </w:tblGrid>
        </w:tblGridChange>
      </w:tblGrid>
      <w:tr>
        <w:tc>
          <w:tcPr>
            <w:shd w:fill="cccccc" w:val="clear"/>
            <w:vAlign w:val="top"/>
          </w:tcPr>
          <w:p w:rsidR="00000000" w:rsidDel="00000000" w:rsidP="00000000" w:rsidRDefault="00000000" w:rsidRPr="00000000" w14:paraId="00000038">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4. CONDICIONES  DE ACCESO</w:t>
            </w:r>
            <w:r w:rsidDel="00000000" w:rsidR="00000000" w:rsidRPr="00000000">
              <w:rPr>
                <w:rtl w:val="0"/>
              </w:rPr>
            </w:r>
          </w:p>
        </w:tc>
      </w:tr>
    </w:tbl>
    <w:p w:rsidR="00000000" w:rsidDel="00000000" w:rsidP="00000000" w:rsidRDefault="00000000" w:rsidRPr="00000000" w14:paraId="0000003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A">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promoción de curso requerirá la superación de todos los módulos profesionales, incluidos los contenidos formativos de aquellos módulos que se distribuyen en más de un curso académico, impartidos en el mismo.</w:t>
      </w:r>
    </w:p>
    <w:p w:rsidR="00000000" w:rsidDel="00000000" w:rsidP="00000000" w:rsidRDefault="00000000" w:rsidRPr="00000000" w14:paraId="0000003B">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 obstante, el equipo docente podrá autorizar dicha promoción al alumno o alumna que tenga dos módulos no superados, siempre y cuando éstos no superen las </w:t>
      </w:r>
      <w:r w:rsidDel="00000000" w:rsidR="00000000" w:rsidRPr="00000000">
        <w:rPr>
          <w:rFonts w:ascii="Arial Narrow" w:cs="Arial Narrow" w:eastAsia="Arial Narrow" w:hAnsi="Arial Narrow"/>
          <w:b w:val="1"/>
          <w:sz w:val="24"/>
          <w:szCs w:val="24"/>
          <w:rtl w:val="0"/>
        </w:rPr>
        <w:t xml:space="preserve">doscientas cincuenta horas</w:t>
      </w:r>
      <w:r w:rsidDel="00000000" w:rsidR="00000000" w:rsidRPr="00000000">
        <w:rPr>
          <w:rFonts w:ascii="Arial Narrow" w:cs="Arial Narrow" w:eastAsia="Arial Narrow" w:hAnsi="Arial Narrow"/>
          <w:sz w:val="24"/>
          <w:szCs w:val="24"/>
          <w:rtl w:val="0"/>
        </w:rPr>
        <w:t xml:space="preserve">, contabilizando a tal efecto, como módulo no superado, los contenidos formativos de aquellos módulos distribuidos en más de un curso académico.</w:t>
      </w:r>
    </w:p>
    <w:p w:rsidR="00000000" w:rsidDel="00000000" w:rsidP="00000000" w:rsidRDefault="00000000" w:rsidRPr="00000000" w14:paraId="0000003C">
      <w:pPr>
        <w:tabs>
          <w:tab w:val="left" w:pos="-720"/>
          <w:tab w:val="right" w:pos="8789"/>
        </w:tabs>
        <w:ind w:right="-1" w:firstLine="567"/>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D">
      <w:pPr>
        <w:tabs>
          <w:tab w:val="left" w:pos="-720"/>
          <w:tab w:val="right" w:pos="8789"/>
        </w:tabs>
        <w:ind w:right="-1" w:firstLine="567"/>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E">
      <w:pPr>
        <w:tabs>
          <w:tab w:val="left" w:pos="-720"/>
          <w:tab w:val="right" w:pos="8789"/>
        </w:tabs>
        <w:ind w:right="-1" w:firstLine="567"/>
        <w:jc w:val="both"/>
        <w:rPr>
          <w:rFonts w:ascii="Arial Narrow" w:cs="Arial Narrow" w:eastAsia="Arial Narrow" w:hAnsi="Arial Narrow"/>
          <w:sz w:val="24"/>
          <w:szCs w:val="24"/>
          <w:vertAlign w:val="baseline"/>
        </w:rPr>
      </w:pPr>
      <w:r w:rsidDel="00000000" w:rsidR="00000000" w:rsidRPr="00000000">
        <w:br w:type="page"/>
      </w:r>
      <w:r w:rsidDel="00000000" w:rsidR="00000000" w:rsidRPr="00000000">
        <w:rPr>
          <w:rtl w:val="0"/>
        </w:rPr>
      </w:r>
    </w:p>
    <w:tbl>
      <w:tblPr>
        <w:tblStyle w:val="Table6"/>
        <w:tblW w:w="4323.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323"/>
        <w:tblGridChange w:id="0">
          <w:tblGrid>
            <w:gridCol w:w="4323"/>
          </w:tblGrid>
        </w:tblGridChange>
      </w:tblGrid>
      <w:tr>
        <w:tc>
          <w:tcPr>
            <w:shd w:fill="cccccc" w:val="clear"/>
            <w:vAlign w:val="top"/>
          </w:tcPr>
          <w:p w:rsidR="00000000" w:rsidDel="00000000" w:rsidP="00000000" w:rsidRDefault="00000000" w:rsidRPr="00000000" w14:paraId="0000003F">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5. CONDICIONES DE PROMOCIÓN</w:t>
            </w:r>
            <w:r w:rsidDel="00000000" w:rsidR="00000000" w:rsidRPr="00000000">
              <w:rPr>
                <w:rtl w:val="0"/>
              </w:rPr>
            </w:r>
          </w:p>
        </w:tc>
      </w:tr>
      <w:tr>
        <w:tc>
          <w:tcPr>
            <w:shd w:fill="cccccc" w:val="clear"/>
            <w:vAlign w:val="top"/>
          </w:tcPr>
          <w:p w:rsidR="00000000" w:rsidDel="00000000" w:rsidP="00000000" w:rsidRDefault="00000000" w:rsidRPr="00000000" w14:paraId="00000040">
            <w:pPr>
              <w:jc w:val="both"/>
              <w:rPr>
                <w:rFonts w:ascii="Arial Narrow" w:cs="Arial Narrow" w:eastAsia="Arial Narrow" w:hAnsi="Arial Narrow"/>
                <w:b w:val="0"/>
                <w:sz w:val="24"/>
                <w:szCs w:val="24"/>
                <w:vertAlign w:val="baseline"/>
              </w:rPr>
            </w:pPr>
            <w:r w:rsidDel="00000000" w:rsidR="00000000" w:rsidRPr="00000000">
              <w:rPr>
                <w:rtl w:val="0"/>
              </w:rPr>
            </w:r>
          </w:p>
        </w:tc>
      </w:tr>
    </w:tbl>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Para acceder al módulo de formación en centros de trabajo se requerirá la superación de todos los módulos profesionales, excepto la del módulo profesional de proyecto. No obstante, el equipo docente podrá autorizar dicho acceso al alumno o alumna que tenga como máximo dos módulos profesionales no superados, siempre y cuando éstos no superen las doscientas cincuenta horas.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vertAlign w:val="baseline"/>
        </w:rPr>
        <w:sectPr>
          <w:footerReference r:id="rId6" w:type="default"/>
          <w:pgSz w:h="16838" w:w="11906" w:orient="portrait"/>
          <w:pgMar w:bottom="1417" w:top="1417" w:left="1701" w:right="1701" w:header="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46">
      <w:pPr>
        <w:jc w:val="both"/>
        <w:rPr>
          <w:rFonts w:ascii="Arial Narrow" w:cs="Arial Narrow" w:eastAsia="Arial Narrow" w:hAnsi="Arial Narrow"/>
          <w:sz w:val="24"/>
          <w:szCs w:val="24"/>
          <w:vertAlign w:val="baseline"/>
        </w:rPr>
      </w:pPr>
      <w:r w:rsidDel="00000000" w:rsidR="00000000" w:rsidRPr="00000000">
        <w:rPr>
          <w:rtl w:val="0"/>
        </w:rPr>
      </w:r>
    </w:p>
    <w:tbl>
      <w:tblPr>
        <w:tblStyle w:val="Table7"/>
        <w:tblW w:w="1913.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913"/>
        <w:tblGridChange w:id="0">
          <w:tblGrid>
            <w:gridCol w:w="1913"/>
          </w:tblGrid>
        </w:tblGridChange>
      </w:tblGrid>
      <w:tr>
        <w:tc>
          <w:tcPr>
            <w:shd w:fill="cccccc" w:val="clear"/>
            <w:vAlign w:val="top"/>
          </w:tcPr>
          <w:p w:rsidR="00000000" w:rsidDel="00000000" w:rsidP="00000000" w:rsidRDefault="00000000" w:rsidRPr="00000000" w14:paraId="00000047">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6. DURACIÓN</w:t>
            </w:r>
            <w:r w:rsidDel="00000000" w:rsidR="00000000" w:rsidRPr="00000000">
              <w:rPr>
                <w:rtl w:val="0"/>
              </w:rPr>
            </w:r>
          </w:p>
        </w:tc>
      </w:tr>
    </w:tbl>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 curso académico, con 175 jornadas lectivas, incluidos los días dedicados a exámenes y a actividades complementarias y extraescolares, y 1. 050 periodos de clase de 55´. La jornada es de mañana, de 8,10 a 14,10, con 6 periodos lectivos.</w:t>
      </w:r>
    </w:p>
    <w:p w:rsidR="00000000" w:rsidDel="00000000" w:rsidP="00000000" w:rsidRDefault="00000000" w:rsidRPr="00000000" w14:paraId="0000004A">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B">
      <w:pPr>
        <w:jc w:val="both"/>
        <w:rPr>
          <w:rFonts w:ascii="Arial Narrow" w:cs="Arial Narrow" w:eastAsia="Arial Narrow" w:hAnsi="Arial Narrow"/>
          <w:sz w:val="24"/>
          <w:szCs w:val="24"/>
          <w:vertAlign w:val="baseline"/>
        </w:rPr>
      </w:pPr>
      <w:r w:rsidDel="00000000" w:rsidR="00000000" w:rsidRPr="00000000">
        <w:rPr>
          <w:rtl w:val="0"/>
        </w:rPr>
      </w:r>
    </w:p>
    <w:tbl>
      <w:tblPr>
        <w:tblStyle w:val="Table8"/>
        <w:tblW w:w="2764.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764"/>
        <w:tblGridChange w:id="0">
          <w:tblGrid>
            <w:gridCol w:w="2764"/>
          </w:tblGrid>
        </w:tblGridChange>
      </w:tblGrid>
      <w:tr>
        <w:tc>
          <w:tcPr>
            <w:shd w:fill="cccccc" w:val="clear"/>
            <w:vAlign w:val="top"/>
          </w:tcPr>
          <w:p w:rsidR="00000000" w:rsidDel="00000000" w:rsidP="00000000" w:rsidRDefault="00000000" w:rsidRPr="00000000" w14:paraId="0000004C">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7. EVALUACIÓN</w:t>
            </w:r>
            <w:r w:rsidDel="00000000" w:rsidR="00000000" w:rsidRPr="00000000">
              <w:rPr>
                <w:rtl w:val="0"/>
              </w:rPr>
            </w:r>
          </w:p>
        </w:tc>
      </w:tr>
    </w:tbl>
    <w:p w:rsidR="00000000" w:rsidDel="00000000" w:rsidP="00000000" w:rsidRDefault="00000000" w:rsidRPr="00000000" w14:paraId="0000004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evaluación del proceso de aprendizaje del alumnado de formación profesional del sistema educativo será continua e integradora, tendrá un carácter eminentemente formativo y se realizará a lo largo de todo el proceso formativo del alumnado</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Dirección de los centros deberá hacer público, al comienzo del curso académico, los criterios de evaluación que vayan a ser aplicados para evidenciar la adquisición de los aprendizajes establecidos en el currículo, así como los objetivos, contenidos y resultados de aprendizaje exigibles para obtener una evaluación positiva en los dif erentes módulos profesionales </w:t>
      </w:r>
    </w:p>
    <w:p w:rsidR="00000000" w:rsidDel="00000000" w:rsidP="00000000" w:rsidRDefault="00000000" w:rsidRPr="00000000" w14:paraId="00000050">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La evaluación continua, en la modalidad general, exige la asistencia regular del alumnado a las actividades programadas para los distintos módulos que integran el ciclo formativo. Dicha asistencia será, con carácter general, no inferior al ochenta y cinco por ciento de la duración total de cada módulo</w:t>
      </w:r>
      <w:r w:rsidDel="00000000" w:rsidR="00000000" w:rsidRPr="00000000">
        <w:rPr>
          <w:rFonts w:ascii="Arial Narrow" w:cs="Arial Narrow" w:eastAsia="Arial Narrow" w:hAnsi="Arial Narrow"/>
          <w:sz w:val="24"/>
          <w:szCs w:val="24"/>
          <w:vertAlign w:val="baseline"/>
          <w:rtl w:val="0"/>
        </w:rPr>
        <w:t xml:space="preserve">.</w:t>
      </w:r>
    </w:p>
    <w:p w:rsidR="00000000" w:rsidDel="00000000" w:rsidP="00000000" w:rsidRDefault="00000000" w:rsidRPr="00000000" w14:paraId="0000005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2">
      <w:pPr>
        <w:jc w:val="both"/>
        <w:rPr>
          <w:rFonts w:ascii="Arial Narrow" w:cs="Arial Narrow" w:eastAsia="Arial Narrow" w:hAnsi="Arial Narrow"/>
          <w:sz w:val="24"/>
          <w:szCs w:val="24"/>
          <w:vertAlign w:val="baseline"/>
        </w:rPr>
      </w:pPr>
      <w:r w:rsidDel="00000000" w:rsidR="00000000" w:rsidRPr="00000000">
        <w:rPr>
          <w:rtl w:val="0"/>
        </w:rPr>
      </w:r>
    </w:p>
    <w:tbl>
      <w:tblPr>
        <w:tblStyle w:val="Table9"/>
        <w:tblW w:w="5740.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740"/>
        <w:tblGridChange w:id="0">
          <w:tblGrid>
            <w:gridCol w:w="5740"/>
          </w:tblGrid>
        </w:tblGridChange>
      </w:tblGrid>
      <w:tr>
        <w:tc>
          <w:tcPr>
            <w:shd w:fill="cccccc" w:val="clear"/>
            <w:vAlign w:val="top"/>
          </w:tcPr>
          <w:p w:rsidR="00000000" w:rsidDel="00000000" w:rsidP="00000000" w:rsidRDefault="00000000" w:rsidRPr="00000000" w14:paraId="00000053">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8. SERVICIOS ADICIONALES DEL CENTRO</w:t>
            </w:r>
            <w:r w:rsidDel="00000000" w:rsidR="00000000" w:rsidRPr="00000000">
              <w:rPr>
                <w:rtl w:val="0"/>
              </w:rPr>
            </w:r>
          </w:p>
        </w:tc>
      </w:tr>
    </w:tbl>
    <w:p w:rsidR="00000000" w:rsidDel="00000000" w:rsidP="00000000" w:rsidRDefault="00000000" w:rsidRPr="00000000" w14:paraId="0000005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5">
      <w:pPr>
        <w:numPr>
          <w:ilvl w:val="0"/>
          <w:numId w:val="1"/>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Transporte escolar para alumnado del valle</w:t>
      </w:r>
    </w:p>
    <w:p w:rsidR="00000000" w:rsidDel="00000000" w:rsidP="00000000" w:rsidRDefault="00000000" w:rsidRPr="00000000" w14:paraId="00000056">
      <w:pPr>
        <w:numPr>
          <w:ilvl w:val="0"/>
          <w:numId w:val="1"/>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Departamento de Orientación Escolar</w:t>
      </w:r>
    </w:p>
    <w:p w:rsidR="00000000" w:rsidDel="00000000" w:rsidP="00000000" w:rsidRDefault="00000000" w:rsidRPr="00000000" w14:paraId="00000057">
      <w:pPr>
        <w:numPr>
          <w:ilvl w:val="0"/>
          <w:numId w:val="1"/>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Bolsa de Trabajo</w:t>
      </w:r>
    </w:p>
    <w:p w:rsidR="00000000" w:rsidDel="00000000" w:rsidP="00000000" w:rsidRDefault="00000000" w:rsidRPr="00000000" w14:paraId="00000058">
      <w:pPr>
        <w:numPr>
          <w:ilvl w:val="0"/>
          <w:numId w:val="1"/>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Cursos de formación continua</w:t>
      </w:r>
    </w:p>
    <w:p w:rsidR="00000000" w:rsidDel="00000000" w:rsidP="00000000" w:rsidRDefault="00000000" w:rsidRPr="00000000" w14:paraId="00000059">
      <w:pPr>
        <w:numPr>
          <w:ilvl w:val="0"/>
          <w:numId w:val="1"/>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Cursos de plan FIP</w:t>
      </w:r>
    </w:p>
    <w:p w:rsidR="00000000" w:rsidDel="00000000" w:rsidP="00000000" w:rsidRDefault="00000000" w:rsidRPr="00000000" w14:paraId="0000005A">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C">
      <w:pPr>
        <w:jc w:val="both"/>
        <w:rPr>
          <w:rFonts w:ascii="Arial Narrow" w:cs="Arial Narrow" w:eastAsia="Arial Narrow" w:hAnsi="Arial Narrow"/>
          <w:sz w:val="24"/>
          <w:szCs w:val="24"/>
          <w:vertAlign w:val="baseline"/>
        </w:rPr>
      </w:pPr>
      <w:r w:rsidDel="00000000" w:rsidR="00000000" w:rsidRPr="00000000">
        <w:br w:type="page"/>
      </w:r>
      <w:r w:rsidDel="00000000" w:rsidR="00000000" w:rsidRPr="00000000">
        <w:rPr>
          <w:rtl w:val="0"/>
        </w:rPr>
      </w:r>
    </w:p>
    <w:tbl>
      <w:tblPr>
        <w:tblStyle w:val="Table10"/>
        <w:tblW w:w="3047.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3047"/>
        <w:tblGridChange w:id="0">
          <w:tblGrid>
            <w:gridCol w:w="3047"/>
          </w:tblGrid>
        </w:tblGridChange>
      </w:tblGrid>
      <w:tr>
        <w:tc>
          <w:tcPr>
            <w:shd w:fill="cccccc" w:val="clear"/>
            <w:vAlign w:val="top"/>
          </w:tcPr>
          <w:p w:rsidR="00000000" w:rsidDel="00000000" w:rsidP="00000000" w:rsidRDefault="00000000" w:rsidRPr="00000000" w14:paraId="0000005D">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11. MATERIAS</w:t>
            </w:r>
            <w:r w:rsidDel="00000000" w:rsidR="00000000" w:rsidRPr="00000000">
              <w:rPr>
                <w:rtl w:val="0"/>
              </w:rPr>
            </w:r>
          </w:p>
        </w:tc>
      </w:tr>
    </w:tbl>
    <w:p w:rsidR="00000000" w:rsidDel="00000000" w:rsidP="00000000" w:rsidRDefault="00000000" w:rsidRPr="00000000" w14:paraId="0000005E">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0">
      <w:pPr>
        <w:jc w:val="both"/>
        <w:rPr>
          <w:rFonts w:ascii="Arial Narrow" w:cs="Arial Narrow" w:eastAsia="Arial Narrow" w:hAnsi="Arial Narrow"/>
          <w:sz w:val="24"/>
          <w:szCs w:val="24"/>
          <w:vertAlign w:val="baseline"/>
        </w:rPr>
      </w:pPr>
      <w:r w:rsidDel="00000000" w:rsidR="00000000" w:rsidRPr="00000000">
        <w:rPr>
          <w:rtl w:val="0"/>
        </w:rPr>
      </w:r>
    </w:p>
    <w:tbl>
      <w:tblPr>
        <w:tblStyle w:val="Table11"/>
        <w:tblW w:w="894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5"/>
        <w:gridCol w:w="960"/>
        <w:gridCol w:w="660"/>
        <w:gridCol w:w="5505"/>
        <w:tblGridChange w:id="0">
          <w:tblGrid>
            <w:gridCol w:w="1815"/>
            <w:gridCol w:w="960"/>
            <w:gridCol w:w="660"/>
            <w:gridCol w:w="5505"/>
          </w:tblGrid>
        </w:tblGridChange>
      </w:tblGrid>
      <w:tr>
        <w:tc>
          <w:tcPr>
            <w:vAlign w:val="top"/>
          </w:tcPr>
          <w:p w:rsidR="00000000" w:rsidDel="00000000" w:rsidP="00000000" w:rsidRDefault="00000000" w:rsidRPr="00000000" w14:paraId="00000061">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MATERIA</w:t>
            </w:r>
            <w:r w:rsidDel="00000000" w:rsidR="00000000" w:rsidRPr="00000000">
              <w:rPr>
                <w:rtl w:val="0"/>
              </w:rPr>
            </w:r>
          </w:p>
        </w:tc>
        <w:tc>
          <w:tcP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Horas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módulo</w:t>
            </w:r>
            <w:r w:rsidDel="00000000" w:rsidR="00000000" w:rsidRPr="00000000">
              <w:rPr>
                <w:rtl w:val="0"/>
              </w:rPr>
            </w:r>
          </w:p>
          <w:p w:rsidR="00000000" w:rsidDel="00000000" w:rsidP="00000000" w:rsidRDefault="00000000" w:rsidRPr="00000000" w14:paraId="00000063">
            <w:pPr>
              <w:jc w:val="center"/>
              <w:rPr>
                <w:rFonts w:ascii="Arial Narrow" w:cs="Arial Narrow" w:eastAsia="Arial Narrow" w:hAnsi="Arial Narrow"/>
                <w:sz w:val="24"/>
                <w:szCs w:val="24"/>
                <w:vertAlign w:val="baseline"/>
              </w:rPr>
            </w:pPr>
            <w:r w:rsidDel="00000000" w:rsidR="00000000" w:rsidRPr="00000000">
              <w:rPr>
                <w:rtl w:val="0"/>
              </w:rPr>
            </w:r>
          </w:p>
        </w:tc>
        <w:tc>
          <w:tcPr>
            <w:vAlign w:val="top"/>
          </w:tcPr>
          <w:p w:rsidR="00000000" w:rsidDel="00000000" w:rsidP="00000000" w:rsidRDefault="00000000" w:rsidRPr="00000000" w14:paraId="00000064">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Horas semana</w:t>
            </w:r>
            <w:r w:rsidDel="00000000" w:rsidR="00000000" w:rsidRPr="00000000">
              <w:rPr>
                <w:rtl w:val="0"/>
              </w:rPr>
            </w:r>
          </w:p>
        </w:tc>
        <w:tc>
          <w:tcPr>
            <w:vAlign w:val="top"/>
          </w:tcPr>
          <w:p w:rsidR="00000000" w:rsidDel="00000000" w:rsidP="00000000" w:rsidRDefault="00000000" w:rsidRPr="00000000" w14:paraId="00000065">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BLOQUES DE CONTENIDO</w:t>
            </w:r>
            <w:r w:rsidDel="00000000" w:rsidR="00000000" w:rsidRPr="00000000">
              <w:rPr>
                <w:rtl w:val="0"/>
              </w:rPr>
            </w:r>
          </w:p>
        </w:tc>
      </w:tr>
      <w:tr>
        <w:trPr>
          <w:trHeight w:val="2440" w:hRule="atLeast"/>
        </w:trPr>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20" w:line="264" w:lineRule="auto"/>
              <w:jc w:val="both"/>
              <w:rPr>
                <w:rFonts w:ascii="Arial" w:cs="Arial" w:eastAsia="Arial" w:hAnsi="Arial"/>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Primeros auxilios</w:t>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70</w:t>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3</w:t>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19"/>
                <w:szCs w:val="19"/>
              </w:rPr>
            </w:pPr>
            <w:r w:rsidDel="00000000" w:rsidR="00000000" w:rsidRPr="00000000">
              <w:rPr>
                <w:rFonts w:ascii="Arial" w:cs="Arial" w:eastAsia="Arial" w:hAnsi="Arial"/>
                <w:color w:val="333333"/>
                <w:sz w:val="19"/>
                <w:szCs w:val="19"/>
                <w:rtl w:val="0"/>
              </w:rPr>
              <w:t xml:space="preserve">Valoración inicial de la asistencia en urgencia:</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19"/>
                <w:szCs w:val="19"/>
              </w:rPr>
            </w:pPr>
            <w:r w:rsidDel="00000000" w:rsidR="00000000" w:rsidRPr="00000000">
              <w:rPr>
                <w:rFonts w:ascii="Arial" w:cs="Arial" w:eastAsia="Arial" w:hAnsi="Arial"/>
                <w:color w:val="333333"/>
                <w:sz w:val="19"/>
                <w:szCs w:val="19"/>
                <w:rtl w:val="0"/>
              </w:rPr>
              <w:t xml:space="preserve">Aplicación de procedimientos de inmovilización y movilización.</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21"/>
                <w:szCs w:val="21"/>
              </w:rPr>
            </w:pPr>
            <w:r w:rsidDel="00000000" w:rsidR="00000000" w:rsidRPr="00000000">
              <w:rPr>
                <w:rFonts w:ascii="Arial" w:cs="Arial" w:eastAsia="Arial" w:hAnsi="Arial"/>
                <w:color w:val="333333"/>
                <w:sz w:val="19"/>
                <w:szCs w:val="19"/>
                <w:rtl w:val="0"/>
              </w:rPr>
              <w:t xml:space="preserve">Aplicación de técnicas de apoyo psicológico y de autocontrol</w:t>
            </w:r>
            <w:r w:rsidDel="00000000" w:rsidR="00000000" w:rsidRPr="00000000">
              <w:rPr>
                <w:rtl w:val="0"/>
              </w:rPr>
            </w:r>
          </w:p>
        </w:tc>
      </w:tr>
      <w:tr>
        <w:trPr>
          <w:trHeight w:val="2440" w:hRule="atLeast"/>
        </w:trPr>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20" w:line="264" w:lineRule="auto"/>
              <w:jc w:val="both"/>
              <w:rPr>
                <w:rFonts w:ascii="Arial" w:cs="Arial" w:eastAsia="Arial" w:hAnsi="Arial"/>
                <w:color w:val="333333"/>
                <w:sz w:val="21"/>
                <w:szCs w:val="21"/>
              </w:rPr>
            </w:pPr>
            <w:r w:rsidDel="00000000" w:rsidR="00000000" w:rsidRPr="00000000">
              <w:rPr>
                <w:rFonts w:ascii="Arial" w:cs="Arial" w:eastAsia="Arial" w:hAnsi="Arial"/>
                <w:color w:val="333333"/>
                <w:sz w:val="18"/>
                <w:szCs w:val="18"/>
                <w:highlight w:val="white"/>
                <w:rtl w:val="0"/>
              </w:rPr>
              <w:t xml:space="preserve">Atención y apoyo psicosocial</w:t>
            </w:r>
            <w:r w:rsidDel="00000000" w:rsidR="00000000" w:rsidRPr="00000000">
              <w:rPr>
                <w:rtl w:val="0"/>
              </w:rPr>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200</w:t>
            </w:r>
            <w:r w:rsidDel="00000000" w:rsidR="00000000" w:rsidRPr="00000000">
              <w:rPr>
                <w:rtl w:val="0"/>
              </w:rPr>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9</w:t>
            </w:r>
            <w:r w:rsidDel="00000000" w:rsidR="00000000" w:rsidRPr="00000000">
              <w:rPr>
                <w:rtl w:val="0"/>
              </w:rPr>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Organización del entorno de intervención:</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Selección de estrategias de apoyo psicosocial y habilidades sociales:</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Aplicación de técnicas y ejercicios de mantenimiento y entrenamiento psicológico, rehabilitador y ocupacional:</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Caracterización de técnicas de acompañamiento para personas en situación de dependencia:</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Descripción de estrategias y técnicas de animación grupal:</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Preparación de información a los cuidadores no formales:</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Valoración y seguimiento de las intervenciones:</w:t>
            </w:r>
          </w:p>
        </w:tc>
      </w:tr>
      <w:tr>
        <w:trPr>
          <w:trHeight w:val="2820" w:hRule="atLeast"/>
        </w:trPr>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20" w:line="264" w:lineRule="auto"/>
              <w:rPr>
                <w:rFonts w:ascii="Arial" w:cs="Arial" w:eastAsia="Arial" w:hAnsi="Arial"/>
                <w:color w:val="333333"/>
                <w:sz w:val="21"/>
                <w:szCs w:val="21"/>
              </w:rPr>
            </w:pPr>
            <w:r w:rsidDel="00000000" w:rsidR="00000000" w:rsidRPr="00000000">
              <w:rPr>
                <w:rFonts w:ascii="Arial" w:cs="Arial" w:eastAsia="Arial" w:hAnsi="Arial"/>
                <w:color w:val="333333"/>
                <w:sz w:val="18"/>
                <w:szCs w:val="18"/>
                <w:highlight w:val="white"/>
                <w:rtl w:val="0"/>
              </w:rPr>
              <w:t xml:space="preserve">Atención higiénica</w:t>
            </w:r>
            <w:r w:rsidDel="00000000" w:rsidR="00000000" w:rsidRPr="00000000">
              <w:rPr>
                <w:rtl w:val="0"/>
              </w:rPr>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20" w:line="264"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150</w:t>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7</w:t>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Organización de actividades de atención higiénica:</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Aplicación de actividades de higiene y aseo de la persona en situación de dependencia:</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Aplicación de actividades de higiene del entorno:</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Control y seguimiento de las actividades de atención higiénica:</w:t>
            </w:r>
          </w:p>
        </w:tc>
      </w:tr>
      <w:tr>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220" w:line="264" w:lineRule="auto"/>
              <w:rPr>
                <w:rFonts w:ascii="Arial" w:cs="Arial" w:eastAsia="Arial" w:hAnsi="Arial"/>
                <w:color w:val="333333"/>
                <w:sz w:val="21"/>
                <w:szCs w:val="21"/>
              </w:rPr>
            </w:pPr>
            <w:r w:rsidDel="00000000" w:rsidR="00000000" w:rsidRPr="00000000">
              <w:rPr>
                <w:rFonts w:ascii="Arial" w:cs="Arial" w:eastAsia="Arial" w:hAnsi="Arial"/>
                <w:color w:val="333333"/>
                <w:sz w:val="18"/>
                <w:szCs w:val="18"/>
                <w:highlight w:val="white"/>
                <w:rtl w:val="0"/>
              </w:rPr>
              <w:t xml:space="preserve">Teleasistencia</w:t>
            </w:r>
            <w:r w:rsidDel="00000000" w:rsidR="00000000" w:rsidRPr="00000000">
              <w:rPr>
                <w:rtl w:val="0"/>
              </w:rPr>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220" w:line="264"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70</w:t>
            </w:r>
            <w:r w:rsidDel="00000000" w:rsidR="00000000" w:rsidRPr="00000000">
              <w:rPr>
                <w:rtl w:val="0"/>
              </w:rPr>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3</w:t>
            </w:r>
            <w:r w:rsidDel="00000000" w:rsidR="00000000" w:rsidRPr="00000000">
              <w:rPr>
                <w:rtl w:val="0"/>
              </w:rPr>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80">
            <w:pPr>
              <w:keepNext w:val="1"/>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Control y seguimiento de las actividades de atención higiénica:</w:t>
            </w:r>
          </w:p>
          <w:p w:rsidR="00000000" w:rsidDel="00000000" w:rsidP="00000000" w:rsidRDefault="00000000" w:rsidRPr="00000000" w14:paraId="00000081">
            <w:pPr>
              <w:keepNext w:val="1"/>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Gestión de llamadas salientes:</w:t>
            </w:r>
          </w:p>
          <w:p w:rsidR="00000000" w:rsidDel="00000000" w:rsidP="00000000" w:rsidRDefault="00000000" w:rsidRPr="00000000" w14:paraId="00000082">
            <w:pPr>
              <w:keepNext w:val="1"/>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Gestión de llamadas entrantes:</w:t>
            </w:r>
          </w:p>
          <w:p w:rsidR="00000000" w:rsidDel="00000000" w:rsidP="00000000" w:rsidRDefault="00000000" w:rsidRPr="00000000" w14:paraId="00000083">
            <w:pPr>
              <w:keepNext w:val="1"/>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Seguimiento de llamadas entrantes y salientes:</w:t>
            </w:r>
          </w:p>
          <w:p w:rsidR="00000000" w:rsidDel="00000000" w:rsidP="00000000" w:rsidRDefault="00000000" w:rsidRPr="00000000" w14:paraId="00000084">
            <w:pPr>
              <w:keepNext w:val="1"/>
              <w:pBdr>
                <w:top w:color="auto" w:space="0" w:sz="0" w:val="none"/>
                <w:left w:color="auto" w:space="0" w:sz="0" w:val="none"/>
                <w:bottom w:color="auto" w:space="0" w:sz="0" w:val="none"/>
                <w:right w:color="auto" w:space="0" w:sz="0" w:val="none"/>
                <w:between w:color="auto" w:space="0" w:sz="0" w:val="none"/>
              </w:pBdr>
              <w:spacing w:after="220" w:line="264" w:lineRule="auto"/>
              <w:jc w:val="both"/>
              <w:rPr>
                <w:rFonts w:ascii="Arial" w:cs="Arial" w:eastAsia="Arial" w:hAnsi="Arial"/>
                <w:color w:val="333333"/>
                <w:sz w:val="21"/>
                <w:szCs w:val="21"/>
              </w:rPr>
            </w:pPr>
            <w:r w:rsidDel="00000000" w:rsidR="00000000" w:rsidRPr="00000000">
              <w:rPr>
                <w:rtl w:val="0"/>
              </w:rPr>
            </w:r>
          </w:p>
        </w:tc>
      </w:tr>
      <w:tr>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220" w:line="264" w:lineRule="auto"/>
              <w:rPr>
                <w:rFonts w:ascii="Arial" w:cs="Arial" w:eastAsia="Arial" w:hAnsi="Arial"/>
                <w:color w:val="333333"/>
                <w:sz w:val="21"/>
                <w:szCs w:val="21"/>
              </w:rPr>
            </w:pPr>
            <w:r w:rsidDel="00000000" w:rsidR="00000000" w:rsidRPr="00000000">
              <w:rPr>
                <w:rFonts w:ascii="Arial" w:cs="Arial" w:eastAsia="Arial" w:hAnsi="Arial"/>
                <w:color w:val="333333"/>
                <w:sz w:val="18"/>
                <w:szCs w:val="18"/>
                <w:highlight w:val="white"/>
                <w:rtl w:val="0"/>
              </w:rPr>
              <w:t xml:space="preserve">Empresa e iniciativa emprendedora</w:t>
            </w:r>
            <w:r w:rsidDel="00000000" w:rsidR="00000000" w:rsidRPr="00000000">
              <w:rPr>
                <w:rtl w:val="0"/>
              </w:rPr>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220" w:line="264"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60</w:t>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3</w:t>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88">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-Iniciativa emprendedora:</w:t>
            </w:r>
          </w:p>
          <w:p w:rsidR="00000000" w:rsidDel="00000000" w:rsidP="00000000" w:rsidRDefault="00000000" w:rsidRPr="00000000" w14:paraId="00000089">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empresa y su entorno:</w:t>
            </w:r>
          </w:p>
          <w:p w:rsidR="00000000" w:rsidDel="00000000" w:rsidP="00000000" w:rsidRDefault="00000000" w:rsidRPr="00000000" w14:paraId="0000008A">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-Plan de producción, organización y recursos humanos para la empresa y estudio de viabilidad económica y financiera.</w:t>
            </w:r>
          </w:p>
          <w:p w:rsidR="00000000" w:rsidDel="00000000" w:rsidP="00000000" w:rsidRDefault="00000000" w:rsidRPr="00000000" w14:paraId="0000008B">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-Creación y puesta en marcha de una empresa:</w:t>
            </w:r>
          </w:p>
          <w:p w:rsidR="00000000" w:rsidDel="00000000" w:rsidP="00000000" w:rsidRDefault="00000000" w:rsidRPr="00000000" w14:paraId="0000008C">
            <w:pPr>
              <w:rPr>
                <w:rFonts w:ascii="Arial" w:cs="Arial" w:eastAsia="Arial" w:hAnsi="Arial"/>
                <w:color w:val="333333"/>
                <w:sz w:val="19"/>
                <w:szCs w:val="19"/>
              </w:rPr>
            </w:pPr>
            <w:r w:rsidDel="00000000" w:rsidR="00000000" w:rsidRPr="00000000">
              <w:rPr>
                <w:rFonts w:ascii="Arial Narrow" w:cs="Arial Narrow" w:eastAsia="Arial Narrow" w:hAnsi="Arial Narrow"/>
                <w:sz w:val="24"/>
                <w:szCs w:val="24"/>
                <w:rtl w:val="0"/>
              </w:rPr>
              <w:t xml:space="preserve">-Función administrativa:</w:t>
            </w: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center"/>
              <w:rPr>
                <w:rFonts w:ascii="Arial" w:cs="Arial" w:eastAsia="Arial" w:hAnsi="Arial"/>
                <w:color w:val="333333"/>
                <w:sz w:val="19"/>
                <w:szCs w:val="19"/>
              </w:rPr>
            </w:pPr>
            <w:r w:rsidDel="00000000" w:rsidR="00000000" w:rsidRPr="00000000">
              <w:rPr>
                <w:rtl w:val="0"/>
              </w:rPr>
            </w:r>
          </w:p>
        </w:tc>
      </w:tr>
      <w:tr>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220" w:line="264"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Relación de ayuda</w:t>
            </w:r>
            <w:r w:rsidDel="00000000" w:rsidR="00000000" w:rsidRPr="00000000">
              <w:rPr>
                <w:rtl w:val="0"/>
              </w:rPr>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after="220" w:line="384.00000000000006" w:lineRule="auto"/>
              <w:jc w:val="cente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110</w:t>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5</w:t>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La relación de ayuda:</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Principales opciones pedagógicas que animan los procesos de relación de ayuda:</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Elementos de planificación de la intervención socioeducativa:</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220" w:line="264" w:lineRule="auto"/>
              <w:jc w:val="both"/>
              <w:rPr>
                <w:rFonts w:ascii="Arial" w:cs="Arial" w:eastAsia="Arial" w:hAnsi="Arial"/>
                <w:color w:val="333333"/>
                <w:sz w:val="19"/>
                <w:szCs w:val="19"/>
                <w:highlight w:val="white"/>
              </w:rPr>
            </w:pPr>
            <w:r w:rsidDel="00000000" w:rsidR="00000000" w:rsidRPr="00000000">
              <w:rPr>
                <w:rFonts w:ascii="Arial" w:cs="Arial" w:eastAsia="Arial" w:hAnsi="Arial"/>
                <w:color w:val="333333"/>
                <w:sz w:val="19"/>
                <w:szCs w:val="19"/>
                <w:highlight w:val="white"/>
                <w:rtl w:val="0"/>
              </w:rPr>
              <w:t xml:space="preserve">Elementos que configuran la identidad profesional:</w:t>
            </w:r>
          </w:p>
        </w:tc>
      </w:tr>
      <w:tr>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220" w:line="264"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FCT</w:t>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after="220" w:line="264"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350</w:t>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after="220" w:line="264" w:lineRule="auto"/>
              <w:jc w:val="center"/>
              <w:rPr>
                <w:rFonts w:ascii="Arial" w:cs="Arial" w:eastAsia="Arial" w:hAnsi="Arial"/>
                <w:color w:val="333333"/>
                <w:sz w:val="21"/>
                <w:szCs w:val="21"/>
              </w:rPr>
            </w:pPr>
            <w:r w:rsidDel="00000000" w:rsidR="00000000" w:rsidRPr="00000000">
              <w:rPr>
                <w:rtl w:val="0"/>
              </w:rPr>
            </w:r>
          </w:p>
        </w:tc>
        <w:tc>
          <w:tcPr>
            <w:tcBorders>
              <w:top w:color="cccccc" w:space="0" w:sz="6" w:val="single"/>
              <w:left w:color="dddddd" w:space="0" w:sz="6" w:val="single"/>
              <w:bottom w:color="000000" w:space="0" w:sz="0" w:val="nil"/>
              <w:right w:color="000000" w:space="0" w:sz="0" w:val="nil"/>
            </w:tcBorders>
            <w:tcMar>
              <w:top w:w="100.0" w:type="dxa"/>
              <w:left w:w="60.0" w:type="dxa"/>
              <w:bottom w:w="100.0" w:type="dxa"/>
              <w:right w:w="100.0" w:type="dxa"/>
            </w:tcMar>
            <w:vAlign w:val="bottom"/>
          </w:tcPr>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tabs>
                <w:tab w:val="left" w:pos="-1440"/>
                <w:tab w:val="left" w:pos="-720"/>
                <w:tab w:val="left" w:pos="851"/>
                <w:tab w:val="left" w:pos="1089"/>
                <w:tab w:val="left" w:pos="1440"/>
                <w:tab w:val="right" w:pos="8789"/>
              </w:tabs>
              <w:spacing w:after="220" w:line="264" w:lineRule="auto"/>
              <w:jc w:val="both"/>
              <w:rPr>
                <w:rFonts w:ascii="Arial" w:cs="Arial" w:eastAsia="Arial" w:hAnsi="Arial"/>
                <w:color w:val="333333"/>
                <w:sz w:val="19"/>
                <w:szCs w:val="19"/>
              </w:rPr>
            </w:pPr>
            <w:r w:rsidDel="00000000" w:rsidR="00000000" w:rsidRPr="00000000">
              <w:rPr>
                <w:rFonts w:ascii="Arial" w:cs="Arial" w:eastAsia="Arial" w:hAnsi="Arial"/>
                <w:color w:val="333333"/>
                <w:sz w:val="19"/>
                <w:szCs w:val="19"/>
                <w:rtl w:val="0"/>
              </w:rPr>
              <w:t xml:space="preserve">Control y seguimiento de las actividades de atención sanitaria:</w:t>
            </w:r>
          </w:p>
        </w:tc>
      </w:tr>
    </w:tbl>
    <w:p w:rsidR="00000000" w:rsidDel="00000000" w:rsidP="00000000" w:rsidRDefault="00000000" w:rsidRPr="00000000" w14:paraId="00000099">
      <w:pPr>
        <w:jc w:val="both"/>
        <w:rPr>
          <w:rFonts w:ascii="Arial Narrow" w:cs="Arial Narrow" w:eastAsia="Arial Narrow" w:hAnsi="Arial Narrow"/>
          <w:sz w:val="24"/>
          <w:szCs w:val="24"/>
          <w:vertAlign w:val="baseline"/>
        </w:rPr>
      </w:pPr>
      <w:r w:rsidDel="00000000" w:rsidR="00000000" w:rsidRPr="00000000">
        <w:rPr>
          <w:rtl w:val="0"/>
        </w:rPr>
      </w:r>
    </w:p>
    <w:sectPr>
      <w:type w:val="continuous"/>
      <w:pgSz w:h="16838" w:w="11906" w:orient="portrait"/>
      <w:pgMar w:bottom="1417" w:top="1417" w:left="1701" w:right="1701"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7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5"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